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EE" w:rsidRPr="00AA3177" w:rsidRDefault="005A63EE" w:rsidP="005A63EE">
      <w:pPr>
        <w:pStyle w:val="Caption"/>
        <w:keepNext/>
        <w:rPr>
          <w:rFonts w:cs="Times New Roman"/>
        </w:rPr>
      </w:pPr>
      <w:bookmarkStart w:id="0" w:name="_Toc421012760"/>
      <w:r w:rsidRPr="00AA3177">
        <w:rPr>
          <w:lang w:val="en-US"/>
        </w:rPr>
        <w:t xml:space="preserve">Table </w:t>
      </w:r>
      <w:r w:rsidRPr="00AA3177">
        <w:rPr>
          <w:lang w:val="en-US"/>
        </w:rPr>
        <w:fldChar w:fldCharType="begin"/>
      </w:r>
      <w:r w:rsidRPr="00AA3177">
        <w:rPr>
          <w:lang w:val="en-US"/>
        </w:rPr>
        <w:instrText xml:space="preserve"> SEQ Table \* ARABIC </w:instrText>
      </w:r>
      <w:r w:rsidRPr="00AA3177">
        <w:rPr>
          <w:lang w:val="en-US"/>
        </w:rPr>
        <w:fldChar w:fldCharType="separate"/>
      </w:r>
      <w:r>
        <w:rPr>
          <w:noProof/>
          <w:lang w:val="en-US"/>
        </w:rPr>
        <w:t>2</w:t>
      </w:r>
      <w:r w:rsidRPr="00AA3177">
        <w:rPr>
          <w:lang w:val="en-US"/>
        </w:rPr>
        <w:fldChar w:fldCharType="end"/>
      </w:r>
      <w:r w:rsidRPr="00AA3177">
        <w:rPr>
          <w:lang w:val="en-US"/>
        </w:rPr>
        <w:t xml:space="preserve">: Simplified Example </w:t>
      </w:r>
      <w:r>
        <w:rPr>
          <w:lang w:val="en-US"/>
        </w:rPr>
        <w:t xml:space="preserve">of a </w:t>
      </w:r>
      <w:r w:rsidRPr="00AA3177">
        <w:rPr>
          <w:lang w:val="en-US"/>
        </w:rPr>
        <w:t>WSI Integrity Risk Register</w:t>
      </w:r>
      <w:bookmarkEnd w:id="0"/>
    </w:p>
    <w:tbl>
      <w:tblPr>
        <w:tblW w:w="108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865"/>
        <w:gridCol w:w="1916"/>
        <w:gridCol w:w="900"/>
        <w:gridCol w:w="720"/>
        <w:gridCol w:w="2610"/>
        <w:gridCol w:w="1260"/>
        <w:gridCol w:w="1440"/>
      </w:tblGrid>
      <w:tr w:rsidR="005A63EE" w:rsidRPr="004D5DA2" w:rsidTr="005A63EE">
        <w:tc>
          <w:tcPr>
            <w:tcW w:w="1105" w:type="dxa"/>
          </w:tcPr>
          <w:p w:rsidR="005A63EE" w:rsidRPr="004D5DA2" w:rsidRDefault="005A63EE" w:rsidP="00892385">
            <w:pPr>
              <w:spacing w:after="120" w:line="240" w:lineRule="auto"/>
              <w:rPr>
                <w:b/>
                <w:bCs/>
                <w:sz w:val="16"/>
                <w:szCs w:val="16"/>
              </w:rPr>
            </w:pPr>
            <w:r w:rsidRPr="004D5DA2">
              <w:rPr>
                <w:b/>
                <w:bCs/>
                <w:sz w:val="16"/>
                <w:szCs w:val="16"/>
              </w:rPr>
              <w:t>a.  Risk area</w:t>
            </w:r>
          </w:p>
        </w:tc>
        <w:tc>
          <w:tcPr>
            <w:tcW w:w="865" w:type="dxa"/>
          </w:tcPr>
          <w:p w:rsidR="005A63EE" w:rsidRPr="004D5DA2" w:rsidRDefault="005A63EE" w:rsidP="00892385">
            <w:pPr>
              <w:spacing w:after="120" w:line="240" w:lineRule="auto"/>
              <w:rPr>
                <w:b/>
                <w:bCs/>
                <w:sz w:val="16"/>
                <w:szCs w:val="16"/>
              </w:rPr>
            </w:pPr>
            <w:r w:rsidRPr="004D5DA2">
              <w:rPr>
                <w:b/>
                <w:bCs/>
                <w:sz w:val="16"/>
                <w:szCs w:val="16"/>
              </w:rPr>
              <w:t>b.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D5DA2">
              <w:rPr>
                <w:b/>
                <w:bCs/>
                <w:sz w:val="16"/>
                <w:szCs w:val="16"/>
              </w:rPr>
              <w:t>Specific risk</w:t>
            </w:r>
          </w:p>
        </w:tc>
        <w:tc>
          <w:tcPr>
            <w:tcW w:w="1916" w:type="dxa"/>
          </w:tcPr>
          <w:p w:rsidR="005A63EE" w:rsidRPr="004D5DA2" w:rsidRDefault="005A63EE" w:rsidP="00892385">
            <w:pPr>
              <w:spacing w:after="120" w:line="240" w:lineRule="auto"/>
              <w:rPr>
                <w:b/>
                <w:bCs/>
                <w:sz w:val="16"/>
                <w:szCs w:val="16"/>
              </w:rPr>
            </w:pPr>
            <w:r w:rsidRPr="004D5DA2">
              <w:rPr>
                <w:b/>
                <w:bCs/>
                <w:sz w:val="16"/>
                <w:szCs w:val="16"/>
              </w:rPr>
              <w:t>c. Possible impact(s)</w:t>
            </w:r>
          </w:p>
        </w:tc>
        <w:tc>
          <w:tcPr>
            <w:tcW w:w="900" w:type="dxa"/>
          </w:tcPr>
          <w:p w:rsidR="005A63EE" w:rsidRPr="004D5DA2" w:rsidRDefault="005A63EE" w:rsidP="00892385">
            <w:pPr>
              <w:spacing w:after="120" w:line="240" w:lineRule="auto"/>
              <w:rPr>
                <w:b/>
                <w:bCs/>
                <w:sz w:val="16"/>
                <w:szCs w:val="16"/>
              </w:rPr>
            </w:pPr>
            <w:r w:rsidRPr="004D5DA2">
              <w:rPr>
                <w:b/>
                <w:bCs/>
                <w:sz w:val="16"/>
                <w:szCs w:val="16"/>
              </w:rPr>
              <w:t>d. Likelihood</w:t>
            </w:r>
          </w:p>
        </w:tc>
        <w:tc>
          <w:tcPr>
            <w:tcW w:w="720" w:type="dxa"/>
          </w:tcPr>
          <w:p w:rsidR="005A63EE" w:rsidRPr="004D5DA2" w:rsidRDefault="005A63EE" w:rsidP="00892385">
            <w:pPr>
              <w:spacing w:after="120" w:line="240" w:lineRule="auto"/>
              <w:rPr>
                <w:b/>
                <w:bCs/>
                <w:sz w:val="16"/>
                <w:szCs w:val="16"/>
              </w:rPr>
            </w:pPr>
            <w:r w:rsidRPr="004D5DA2">
              <w:rPr>
                <w:b/>
                <w:bCs/>
                <w:sz w:val="16"/>
                <w:szCs w:val="16"/>
              </w:rPr>
              <w:t>e.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D5DA2">
              <w:rPr>
                <w:b/>
                <w:bCs/>
                <w:sz w:val="16"/>
                <w:szCs w:val="16"/>
              </w:rPr>
              <w:t>Impact</w:t>
            </w:r>
          </w:p>
        </w:tc>
        <w:tc>
          <w:tcPr>
            <w:tcW w:w="2610" w:type="dxa"/>
          </w:tcPr>
          <w:p w:rsidR="005A63EE" w:rsidRPr="004D5DA2" w:rsidRDefault="005A63EE" w:rsidP="00892385">
            <w:pPr>
              <w:spacing w:after="120" w:line="240" w:lineRule="auto"/>
              <w:rPr>
                <w:b/>
                <w:bCs/>
                <w:sz w:val="16"/>
                <w:szCs w:val="16"/>
              </w:rPr>
            </w:pPr>
            <w:r w:rsidRPr="004D5DA2">
              <w:rPr>
                <w:b/>
                <w:bCs/>
                <w:sz w:val="16"/>
                <w:szCs w:val="16"/>
              </w:rPr>
              <w:t>f. Mitigation actions (who, what, when)</w:t>
            </w:r>
          </w:p>
        </w:tc>
        <w:tc>
          <w:tcPr>
            <w:tcW w:w="1260" w:type="dxa"/>
          </w:tcPr>
          <w:p w:rsidR="005A63EE" w:rsidRPr="004D5DA2" w:rsidRDefault="005A63EE" w:rsidP="00892385">
            <w:pPr>
              <w:spacing w:after="120" w:line="240" w:lineRule="auto"/>
              <w:rPr>
                <w:b/>
                <w:bCs/>
                <w:sz w:val="16"/>
                <w:szCs w:val="16"/>
              </w:rPr>
            </w:pPr>
            <w:r w:rsidRPr="004D5DA2">
              <w:rPr>
                <w:b/>
                <w:bCs/>
                <w:sz w:val="16"/>
                <w:szCs w:val="16"/>
              </w:rPr>
              <w:t>g. Is the risk tolerable with mitigation?</w:t>
            </w:r>
          </w:p>
          <w:p w:rsidR="005A63EE" w:rsidRPr="004D5DA2" w:rsidRDefault="005A63EE" w:rsidP="00892385">
            <w:pPr>
              <w:spacing w:after="120" w:line="240" w:lineRule="auto"/>
              <w:rPr>
                <w:b/>
                <w:bCs/>
                <w:sz w:val="16"/>
                <w:szCs w:val="16"/>
              </w:rPr>
            </w:pPr>
            <w:r w:rsidRPr="004D5DA2">
              <w:rPr>
                <w:b/>
                <w:bCs/>
                <w:sz w:val="16"/>
                <w:szCs w:val="16"/>
              </w:rPr>
              <w:t>(Y/N)</w:t>
            </w:r>
          </w:p>
        </w:tc>
        <w:tc>
          <w:tcPr>
            <w:tcW w:w="1440" w:type="dxa"/>
          </w:tcPr>
          <w:p w:rsidR="005A63EE" w:rsidRPr="004D5DA2" w:rsidRDefault="005A63EE" w:rsidP="00892385">
            <w:pPr>
              <w:spacing w:after="120" w:line="240" w:lineRule="auto"/>
              <w:rPr>
                <w:b/>
                <w:bCs/>
                <w:sz w:val="16"/>
                <w:szCs w:val="16"/>
              </w:rPr>
            </w:pPr>
            <w:r w:rsidRPr="004D5DA2">
              <w:rPr>
                <w:b/>
                <w:bCs/>
                <w:sz w:val="16"/>
                <w:szCs w:val="16"/>
              </w:rPr>
              <w:t xml:space="preserve">h. Risk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4D5DA2">
              <w:rPr>
                <w:b/>
                <w:bCs/>
                <w:sz w:val="16"/>
                <w:szCs w:val="16"/>
              </w:rPr>
              <w:t>anager and review period</w:t>
            </w:r>
          </w:p>
        </w:tc>
      </w:tr>
      <w:tr w:rsidR="005A63EE" w:rsidRPr="004D5DA2" w:rsidTr="005A63EE">
        <w:trPr>
          <w:cantSplit/>
          <w:trHeight w:val="1134"/>
        </w:trPr>
        <w:tc>
          <w:tcPr>
            <w:tcW w:w="110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Participants</w:t>
            </w:r>
          </w:p>
        </w:tc>
        <w:tc>
          <w:tcPr>
            <w:tcW w:w="86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Track record</w:t>
            </w:r>
          </w:p>
        </w:tc>
        <w:tc>
          <w:tcPr>
            <w:tcW w:w="1916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Partners undermine public credibility of the WSI and co-partners because of mismanagement, ongoing pollution, non-payment of tax, or corruption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00" w:type="dxa"/>
            <w:shd w:val="clear" w:color="auto" w:fill="FFFF00"/>
            <w:vAlign w:val="center"/>
          </w:tcPr>
          <w:p w:rsidR="005A63EE" w:rsidRPr="004D5DA2" w:rsidRDefault="005A63EE" w:rsidP="0089238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D5DA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6600"/>
            <w:vAlign w:val="center"/>
          </w:tcPr>
          <w:p w:rsidR="005A63EE" w:rsidRPr="004D5DA2" w:rsidRDefault="005A63EE" w:rsidP="0089238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D5DA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10" w:type="dxa"/>
          </w:tcPr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 xml:space="preserve">WSI initiator to carry out thorough local due diligence check on formal partners and require full disclosure on compliance prior to </w:t>
            </w:r>
            <w:proofErr w:type="spellStart"/>
            <w:r>
              <w:rPr>
                <w:sz w:val="16"/>
                <w:szCs w:val="16"/>
              </w:rPr>
              <w:t>MoU</w:t>
            </w:r>
            <w:proofErr w:type="spellEnd"/>
            <w:r w:rsidRPr="004D5DA2">
              <w:rPr>
                <w:sz w:val="16"/>
                <w:szCs w:val="16"/>
              </w:rPr>
              <w:t xml:space="preserve"> signing.</w:t>
            </w:r>
          </w:p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Select appropriate partners based on nature of WSI</w:t>
            </w:r>
            <w:r>
              <w:rPr>
                <w:sz w:val="16"/>
                <w:szCs w:val="16"/>
              </w:rPr>
              <w:t>.</w:t>
            </w:r>
          </w:p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Test credibility with focus group</w:t>
            </w:r>
            <w:r>
              <w:rPr>
                <w:sz w:val="16"/>
                <w:szCs w:val="16"/>
              </w:rPr>
              <w:t>.</w:t>
            </w:r>
          </w:p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Draw up detailed partnership agreement</w:t>
            </w:r>
            <w:r>
              <w:rPr>
                <w:sz w:val="16"/>
                <w:szCs w:val="16"/>
              </w:rPr>
              <w:t>.</w:t>
            </w:r>
          </w:p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 xml:space="preserve">Agree </w:t>
            </w:r>
            <w:r>
              <w:rPr>
                <w:sz w:val="16"/>
                <w:szCs w:val="16"/>
              </w:rPr>
              <w:t xml:space="preserve">on a </w:t>
            </w:r>
            <w:r w:rsidRPr="004D5DA2">
              <w:rPr>
                <w:sz w:val="16"/>
                <w:szCs w:val="16"/>
              </w:rPr>
              <w:t>public position on partner performance and existing strategies</w:t>
            </w:r>
            <w:r>
              <w:rPr>
                <w:sz w:val="16"/>
                <w:szCs w:val="16"/>
              </w:rPr>
              <w:t>.</w:t>
            </w:r>
            <w:r w:rsidRPr="004D5D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5A63EE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 xml:space="preserve">Yes </w:t>
            </w:r>
            <w:r>
              <w:rPr>
                <w:sz w:val="16"/>
                <w:szCs w:val="16"/>
              </w:rPr>
              <w:t>—</w:t>
            </w:r>
          </w:p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D5DA2">
              <w:rPr>
                <w:sz w:val="16"/>
                <w:szCs w:val="16"/>
              </w:rPr>
              <w:t>ependent on nature of WSI and partners</w:t>
            </w:r>
            <w:r>
              <w:rPr>
                <w:sz w:val="16"/>
                <w:szCs w:val="16"/>
              </w:rPr>
              <w:t xml:space="preserve"> — </w:t>
            </w:r>
            <w:r w:rsidRPr="004D5DA2">
              <w:rPr>
                <w:sz w:val="16"/>
                <w:szCs w:val="16"/>
              </w:rPr>
              <w:t xml:space="preserve">best judged locally by </w:t>
            </w:r>
            <w:r w:rsidRPr="004D5DA2">
              <w:rPr>
                <w:b/>
                <w:bCs/>
                <w:color w:val="F79646"/>
                <w:sz w:val="16"/>
                <w:szCs w:val="16"/>
              </w:rPr>
              <w:t>WSI participant</w:t>
            </w:r>
            <w:r>
              <w:rPr>
                <w:b/>
                <w:bCs/>
                <w:color w:val="F79646"/>
                <w:sz w:val="16"/>
                <w:szCs w:val="16"/>
              </w:rPr>
              <w:t>s</w:t>
            </w:r>
            <w:r>
              <w:rPr>
                <w:color w:val="000000"/>
                <w:sz w:val="16"/>
                <w:szCs w:val="16"/>
              </w:rPr>
              <w:t xml:space="preserve"> and </w:t>
            </w:r>
            <w:r>
              <w:rPr>
                <w:b/>
                <w:bCs/>
                <w:color w:val="F79646"/>
                <w:sz w:val="16"/>
                <w:szCs w:val="16"/>
              </w:rPr>
              <w:t>stakeholders</w:t>
            </w:r>
          </w:p>
        </w:tc>
        <w:tc>
          <w:tcPr>
            <w:tcW w:w="1440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b/>
                <w:bCs/>
                <w:color w:val="F79646"/>
                <w:sz w:val="16"/>
                <w:szCs w:val="16"/>
              </w:rPr>
              <w:t>WSI initiator</w:t>
            </w:r>
            <w:r>
              <w:rPr>
                <w:sz w:val="16"/>
                <w:szCs w:val="16"/>
              </w:rPr>
              <w:t>: r</w:t>
            </w:r>
            <w:r w:rsidRPr="004D5DA2">
              <w:rPr>
                <w:sz w:val="16"/>
                <w:szCs w:val="16"/>
              </w:rPr>
              <w:t>eport every 6 months</w:t>
            </w:r>
            <w:r>
              <w:rPr>
                <w:sz w:val="16"/>
                <w:szCs w:val="16"/>
              </w:rPr>
              <w:t>.</w:t>
            </w:r>
          </w:p>
        </w:tc>
      </w:tr>
      <w:tr w:rsidR="005A63EE" w:rsidRPr="004D5DA2" w:rsidTr="005A63EE">
        <w:tc>
          <w:tcPr>
            <w:tcW w:w="110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Participants</w:t>
            </w:r>
          </w:p>
        </w:tc>
        <w:tc>
          <w:tcPr>
            <w:tcW w:w="86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Continuity</w:t>
            </w:r>
          </w:p>
        </w:tc>
        <w:tc>
          <w:tcPr>
            <w:tcW w:w="1916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proofErr w:type="gramStart"/>
            <w:r w:rsidRPr="004D5DA2">
              <w:rPr>
                <w:sz w:val="16"/>
                <w:szCs w:val="16"/>
              </w:rPr>
              <w:t>Staff representing partners change</w:t>
            </w:r>
            <w:proofErr w:type="gramEnd"/>
            <w:r w:rsidRPr="004D5DA2">
              <w:rPr>
                <w:sz w:val="16"/>
                <w:szCs w:val="16"/>
              </w:rPr>
              <w:t xml:space="preserve"> jobs frequently so the levels of internal accountability, institutional memory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and the chance of getting things done are low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00" w:type="dxa"/>
            <w:shd w:val="clear" w:color="auto" w:fill="FF0000"/>
            <w:vAlign w:val="center"/>
          </w:tcPr>
          <w:p w:rsidR="005A63EE" w:rsidRPr="004D5DA2" w:rsidRDefault="005A63EE" w:rsidP="0089238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D5DA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6600"/>
            <w:vAlign w:val="center"/>
          </w:tcPr>
          <w:p w:rsidR="005A63EE" w:rsidRPr="004D5DA2" w:rsidRDefault="005A63EE" w:rsidP="0089238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D5DA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10" w:type="dxa"/>
          </w:tcPr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Secure and record senior formal commitment to WSI</w:t>
            </w:r>
            <w:r>
              <w:rPr>
                <w:sz w:val="16"/>
                <w:szCs w:val="16"/>
              </w:rPr>
              <w:t>.</w:t>
            </w:r>
          </w:p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D5DA2">
              <w:rPr>
                <w:sz w:val="16"/>
                <w:szCs w:val="16"/>
              </w:rPr>
              <w:t>artnership agreement detailing contingency plans</w:t>
            </w:r>
            <w:r>
              <w:rPr>
                <w:sz w:val="16"/>
                <w:szCs w:val="16"/>
              </w:rPr>
              <w:t>.</w:t>
            </w:r>
          </w:p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Monitor and report partner staff attendance and delivery on agreed actions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Yes</w:t>
            </w:r>
          </w:p>
        </w:tc>
        <w:tc>
          <w:tcPr>
            <w:tcW w:w="1440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b/>
                <w:bCs/>
                <w:color w:val="F79646"/>
                <w:sz w:val="16"/>
                <w:szCs w:val="16"/>
              </w:rPr>
              <w:t>WSI initiator</w:t>
            </w:r>
            <w:r w:rsidRPr="004D5DA2">
              <w:rPr>
                <w:sz w:val="16"/>
                <w:szCs w:val="16"/>
              </w:rPr>
              <w:t xml:space="preserve"> and </w:t>
            </w:r>
            <w:r w:rsidRPr="004D5DA2">
              <w:rPr>
                <w:b/>
                <w:bCs/>
                <w:color w:val="F79646"/>
                <w:sz w:val="16"/>
                <w:szCs w:val="16"/>
              </w:rPr>
              <w:t>WSI participan</w:t>
            </w:r>
            <w:r>
              <w:rPr>
                <w:b/>
                <w:bCs/>
                <w:color w:val="F79646"/>
                <w:sz w:val="16"/>
                <w:szCs w:val="16"/>
              </w:rPr>
              <w:t>ts</w:t>
            </w:r>
          </w:p>
        </w:tc>
      </w:tr>
      <w:tr w:rsidR="005A63EE" w:rsidRPr="004D5DA2" w:rsidTr="005A63EE">
        <w:tc>
          <w:tcPr>
            <w:tcW w:w="110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 xml:space="preserve">Participants </w:t>
            </w:r>
          </w:p>
        </w:tc>
        <w:tc>
          <w:tcPr>
            <w:tcW w:w="86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proofErr w:type="spellStart"/>
            <w:r w:rsidRPr="004D5DA2">
              <w:rPr>
                <w:sz w:val="16"/>
                <w:szCs w:val="16"/>
              </w:rPr>
              <w:t>Cont</w:t>
            </w:r>
            <w:proofErr w:type="spellEnd"/>
            <w:r w:rsidRPr="004D5DA2">
              <w:rPr>
                <w:sz w:val="16"/>
                <w:szCs w:val="16"/>
              </w:rPr>
              <w:t>…</w:t>
            </w:r>
          </w:p>
        </w:tc>
        <w:tc>
          <w:tcPr>
            <w:tcW w:w="1916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…..</w:t>
            </w:r>
          </w:p>
        </w:tc>
        <w:tc>
          <w:tcPr>
            <w:tcW w:w="900" w:type="dxa"/>
            <w:vAlign w:val="center"/>
          </w:tcPr>
          <w:p w:rsidR="005A63EE" w:rsidRPr="004D5DA2" w:rsidRDefault="005A63EE" w:rsidP="00892385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A63EE" w:rsidRPr="004D5DA2" w:rsidRDefault="005A63EE" w:rsidP="00892385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5A63EE" w:rsidRPr="004D5DA2" w:rsidRDefault="005A63EE" w:rsidP="00892385">
            <w:pPr>
              <w:spacing w:after="8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A63EE" w:rsidRPr="004D5DA2" w:rsidRDefault="005A63EE" w:rsidP="00892385">
            <w:pPr>
              <w:spacing w:after="12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A63EE" w:rsidRPr="004D5DA2" w:rsidRDefault="005A63EE" w:rsidP="00892385">
            <w:pPr>
              <w:spacing w:after="120" w:line="240" w:lineRule="auto"/>
              <w:rPr>
                <w:sz w:val="16"/>
                <w:szCs w:val="16"/>
              </w:rPr>
            </w:pPr>
          </w:p>
        </w:tc>
      </w:tr>
      <w:tr w:rsidR="005A63EE" w:rsidRPr="004D5DA2" w:rsidTr="005A63EE">
        <w:tc>
          <w:tcPr>
            <w:tcW w:w="110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Processes &amp; governance</w:t>
            </w:r>
          </w:p>
        </w:tc>
        <w:tc>
          <w:tcPr>
            <w:tcW w:w="86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Planning and design</w:t>
            </w:r>
          </w:p>
        </w:tc>
        <w:tc>
          <w:tcPr>
            <w:tcW w:w="1916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Flawed planning means that focus of WSI does not address shared water risk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thus wasting funds and effort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00" w:type="dxa"/>
            <w:shd w:val="clear" w:color="auto" w:fill="FF6600"/>
            <w:vAlign w:val="center"/>
          </w:tcPr>
          <w:p w:rsidR="005A63EE" w:rsidRPr="004D5DA2" w:rsidRDefault="005A63EE" w:rsidP="00892385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A63EE" w:rsidRPr="004D5DA2" w:rsidRDefault="005A63EE" w:rsidP="0089238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D5DA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6600"/>
            <w:vAlign w:val="center"/>
          </w:tcPr>
          <w:p w:rsidR="005A63EE" w:rsidRPr="004D5DA2" w:rsidRDefault="005A63EE" w:rsidP="00892385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A63EE" w:rsidRPr="004D5DA2" w:rsidRDefault="005A63EE" w:rsidP="0089238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D5DA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10" w:type="dxa"/>
          </w:tcPr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 xml:space="preserve">Ensure </w:t>
            </w:r>
            <w:r>
              <w:rPr>
                <w:sz w:val="16"/>
                <w:szCs w:val="16"/>
              </w:rPr>
              <w:t xml:space="preserve">that </w:t>
            </w:r>
            <w:r w:rsidRPr="004D5DA2">
              <w:rPr>
                <w:sz w:val="16"/>
                <w:szCs w:val="16"/>
              </w:rPr>
              <w:t>situation</w:t>
            </w:r>
            <w:r>
              <w:rPr>
                <w:sz w:val="16"/>
                <w:szCs w:val="16"/>
              </w:rPr>
              <w:t xml:space="preserve"> and </w:t>
            </w:r>
            <w:r w:rsidRPr="004D5DA2">
              <w:rPr>
                <w:sz w:val="16"/>
                <w:szCs w:val="16"/>
              </w:rPr>
              <w:t>context analys</w:t>
            </w:r>
            <w:r>
              <w:rPr>
                <w:sz w:val="16"/>
                <w:szCs w:val="16"/>
              </w:rPr>
              <w:t>e</w:t>
            </w:r>
            <w:r w:rsidRPr="004D5DA2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including a political economy analysis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are completed and incorporated in design</w:t>
            </w:r>
            <w:r>
              <w:rPr>
                <w:sz w:val="16"/>
                <w:szCs w:val="16"/>
              </w:rPr>
              <w:t>.</w:t>
            </w:r>
          </w:p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 xml:space="preserve">Establish clear </w:t>
            </w:r>
            <w:r w:rsidRPr="004D5DA2">
              <w:rPr>
                <w:b/>
                <w:bCs/>
                <w:color w:val="F79646"/>
                <w:sz w:val="16"/>
                <w:szCs w:val="16"/>
              </w:rPr>
              <w:t>theory of change</w:t>
            </w:r>
            <w:r w:rsidRPr="004D5DA2">
              <w:rPr>
                <w:sz w:val="16"/>
                <w:szCs w:val="16"/>
              </w:rPr>
              <w:t xml:space="preserve"> validated by balanced group of WSI stakeholders and affected stakeholder groups</w:t>
            </w:r>
            <w:r>
              <w:rPr>
                <w:sz w:val="16"/>
                <w:szCs w:val="16"/>
              </w:rPr>
              <w:t>.</w:t>
            </w:r>
          </w:p>
          <w:p w:rsidR="005A63EE" w:rsidRPr="004D5DA2" w:rsidRDefault="005A63EE" w:rsidP="00892385">
            <w:pPr>
              <w:spacing w:after="80"/>
              <w:rPr>
                <w:sz w:val="16"/>
                <w:szCs w:val="16"/>
                <w:highlight w:val="cyan"/>
              </w:rPr>
            </w:pPr>
            <w:r w:rsidRPr="004D5DA2">
              <w:rPr>
                <w:sz w:val="16"/>
                <w:szCs w:val="16"/>
              </w:rPr>
              <w:t>Establish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track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and report </w:t>
            </w:r>
            <w:r>
              <w:rPr>
                <w:sz w:val="16"/>
                <w:szCs w:val="16"/>
              </w:rPr>
              <w:t xml:space="preserve">on </w:t>
            </w:r>
            <w:r w:rsidRPr="004D5DA2">
              <w:rPr>
                <w:sz w:val="16"/>
                <w:szCs w:val="16"/>
              </w:rPr>
              <w:t>WSI M&amp;E framework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Yes</w:t>
            </w:r>
          </w:p>
        </w:tc>
        <w:tc>
          <w:tcPr>
            <w:tcW w:w="1440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b/>
                <w:bCs/>
                <w:color w:val="F79646"/>
                <w:sz w:val="16"/>
                <w:szCs w:val="16"/>
              </w:rPr>
              <w:t>WSI practitioner</w:t>
            </w:r>
            <w:r>
              <w:rPr>
                <w:b/>
                <w:bCs/>
                <w:color w:val="F79646"/>
                <w:sz w:val="16"/>
                <w:szCs w:val="16"/>
              </w:rPr>
              <w:t>, initiator</w:t>
            </w:r>
          </w:p>
        </w:tc>
      </w:tr>
      <w:tr w:rsidR="005A63EE" w:rsidRPr="004D5DA2" w:rsidTr="005A63EE">
        <w:tc>
          <w:tcPr>
            <w:tcW w:w="110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 xml:space="preserve">Processes &amp; governance </w:t>
            </w:r>
          </w:p>
        </w:tc>
        <w:tc>
          <w:tcPr>
            <w:tcW w:w="86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proofErr w:type="spellStart"/>
            <w:r w:rsidRPr="004D5DA2">
              <w:rPr>
                <w:sz w:val="16"/>
                <w:szCs w:val="16"/>
              </w:rPr>
              <w:t>Cont</w:t>
            </w:r>
            <w:proofErr w:type="spellEnd"/>
            <w:r w:rsidRPr="004D5DA2">
              <w:rPr>
                <w:sz w:val="16"/>
                <w:szCs w:val="16"/>
              </w:rPr>
              <w:t>…</w:t>
            </w:r>
          </w:p>
        </w:tc>
        <w:tc>
          <w:tcPr>
            <w:tcW w:w="1916" w:type="dxa"/>
          </w:tcPr>
          <w:p w:rsidR="005A63EE" w:rsidRPr="004D5DA2" w:rsidRDefault="005A63EE" w:rsidP="00892385">
            <w:pPr>
              <w:spacing w:after="12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A63EE" w:rsidRPr="004D5DA2" w:rsidRDefault="005A63EE" w:rsidP="00892385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A63EE" w:rsidRPr="004D5DA2" w:rsidRDefault="005A63EE" w:rsidP="00892385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5A63EE" w:rsidRPr="004D5DA2" w:rsidRDefault="005A63EE" w:rsidP="00892385">
            <w:pPr>
              <w:spacing w:after="8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1260" w:type="dxa"/>
          </w:tcPr>
          <w:p w:rsidR="005A63EE" w:rsidRPr="004D5DA2" w:rsidRDefault="005A63EE" w:rsidP="00892385">
            <w:pPr>
              <w:spacing w:after="12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A63EE" w:rsidRPr="004D5DA2" w:rsidRDefault="005A63EE" w:rsidP="00892385">
            <w:pPr>
              <w:spacing w:after="120" w:line="240" w:lineRule="auto"/>
              <w:rPr>
                <w:sz w:val="16"/>
                <w:szCs w:val="16"/>
              </w:rPr>
            </w:pPr>
          </w:p>
        </w:tc>
      </w:tr>
      <w:tr w:rsidR="005A63EE" w:rsidRPr="004D5DA2" w:rsidTr="005A63EE">
        <w:tc>
          <w:tcPr>
            <w:tcW w:w="110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Outcomes &amp; SWM</w:t>
            </w:r>
          </w:p>
        </w:tc>
        <w:tc>
          <w:tcPr>
            <w:tcW w:w="865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b/>
                <w:bCs/>
                <w:color w:val="F79646"/>
                <w:sz w:val="16"/>
                <w:szCs w:val="16"/>
              </w:rPr>
              <w:t>Policy capture</w:t>
            </w:r>
          </w:p>
        </w:tc>
        <w:tc>
          <w:tcPr>
            <w:tcW w:w="1916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WSI results in policies, laws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or actions that privilege certain groups (through guaranteed water access or lower costs)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and prejudice against interests of the wider public, vulnerable groups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or environmental concerns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00" w:type="dxa"/>
            <w:shd w:val="clear" w:color="auto" w:fill="FF0000"/>
            <w:vAlign w:val="center"/>
          </w:tcPr>
          <w:p w:rsidR="005A63EE" w:rsidRPr="004D5DA2" w:rsidRDefault="005A63EE" w:rsidP="0089238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D5DA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0000"/>
            <w:vAlign w:val="center"/>
          </w:tcPr>
          <w:p w:rsidR="005A63EE" w:rsidRPr="004D5DA2" w:rsidRDefault="005A63EE" w:rsidP="0089238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D5DA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10" w:type="dxa"/>
          </w:tcPr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 xml:space="preserve">Establish potential </w:t>
            </w:r>
            <w:r w:rsidRPr="004D5DA2">
              <w:rPr>
                <w:b/>
                <w:bCs/>
                <w:color w:val="F79646"/>
                <w:sz w:val="16"/>
                <w:szCs w:val="16"/>
              </w:rPr>
              <w:t>perverse outcomes</w:t>
            </w:r>
            <w:r w:rsidRPr="004D5DA2">
              <w:rPr>
                <w:sz w:val="16"/>
                <w:szCs w:val="16"/>
              </w:rPr>
              <w:t xml:space="preserve"> of WSI at early stage with </w:t>
            </w:r>
            <w:r w:rsidRPr="004D5DA2">
              <w:rPr>
                <w:b/>
                <w:bCs/>
                <w:color w:val="F79646"/>
                <w:sz w:val="16"/>
                <w:szCs w:val="16"/>
              </w:rPr>
              <w:t>WSI participan</w:t>
            </w:r>
            <w:r>
              <w:rPr>
                <w:b/>
                <w:bCs/>
                <w:color w:val="F79646"/>
                <w:sz w:val="16"/>
                <w:szCs w:val="16"/>
              </w:rPr>
              <w:t>ts</w:t>
            </w:r>
            <w:r w:rsidRPr="004D5DA2">
              <w:rPr>
                <w:sz w:val="16"/>
                <w:szCs w:val="16"/>
              </w:rPr>
              <w:t xml:space="preserve"> and affected stakeholder groups</w:t>
            </w:r>
            <w:r>
              <w:rPr>
                <w:sz w:val="16"/>
                <w:szCs w:val="16"/>
              </w:rPr>
              <w:t>.</w:t>
            </w:r>
          </w:p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Include legitimate and credible interests that can potentially be affected negatively by WSI at governance level</w:t>
            </w:r>
            <w:r>
              <w:rPr>
                <w:sz w:val="16"/>
                <w:szCs w:val="16"/>
              </w:rPr>
              <w:t>.</w:t>
            </w:r>
          </w:p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Full public disclosure of design, intent</w:t>
            </w:r>
            <w:r>
              <w:rPr>
                <w:sz w:val="16"/>
                <w:szCs w:val="16"/>
              </w:rPr>
              <w:t xml:space="preserve">, </w:t>
            </w:r>
            <w:r w:rsidRPr="004D5DA2">
              <w:rPr>
                <w:sz w:val="16"/>
                <w:szCs w:val="16"/>
              </w:rPr>
              <w:t>and progress of WSI</w:t>
            </w:r>
            <w:r>
              <w:rPr>
                <w:sz w:val="16"/>
                <w:szCs w:val="16"/>
              </w:rPr>
              <w:t>.</w:t>
            </w:r>
          </w:p>
          <w:p w:rsidR="005A63EE" w:rsidRPr="004D5DA2" w:rsidRDefault="005A63EE" w:rsidP="00892385">
            <w:pPr>
              <w:spacing w:after="8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>Independent oversight and evaluation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</w:tcPr>
          <w:p w:rsidR="005A63EE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—</w:t>
            </w:r>
          </w:p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4D5DA2">
              <w:rPr>
                <w:sz w:val="16"/>
                <w:szCs w:val="16"/>
              </w:rPr>
              <w:t>n some contexts</w:t>
            </w:r>
            <w:r>
              <w:rPr>
                <w:sz w:val="16"/>
                <w:szCs w:val="16"/>
              </w:rPr>
              <w:t>—</w:t>
            </w:r>
            <w:r w:rsidRPr="004D5DA2">
              <w:rPr>
                <w:sz w:val="16"/>
                <w:szCs w:val="16"/>
              </w:rPr>
              <w:t>highly contested water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compromised governance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low partner controls</w:t>
            </w:r>
            <w:r>
              <w:rPr>
                <w:sz w:val="16"/>
                <w:szCs w:val="16"/>
              </w:rPr>
              <w:t>,</w:t>
            </w:r>
            <w:r w:rsidRPr="004D5DA2">
              <w:rPr>
                <w:sz w:val="16"/>
                <w:szCs w:val="16"/>
              </w:rPr>
              <w:t xml:space="preserve"> lack of stakeholder representation</w:t>
            </w:r>
            <w:r>
              <w:rPr>
                <w:sz w:val="16"/>
                <w:szCs w:val="16"/>
              </w:rPr>
              <w:t>—</w:t>
            </w:r>
            <w:r w:rsidRPr="004D5DA2">
              <w:rPr>
                <w:sz w:val="16"/>
                <w:szCs w:val="16"/>
              </w:rPr>
              <w:t>the risks of capture may be too great and mitigation measures ineffective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40" w:type="dxa"/>
          </w:tcPr>
          <w:p w:rsidR="005A63EE" w:rsidRPr="004D5DA2" w:rsidRDefault="005A63EE" w:rsidP="00892385">
            <w:pPr>
              <w:spacing w:after="120"/>
              <w:rPr>
                <w:sz w:val="16"/>
                <w:szCs w:val="16"/>
              </w:rPr>
            </w:pPr>
            <w:r w:rsidRPr="004D5DA2">
              <w:rPr>
                <w:b/>
                <w:bCs/>
                <w:color w:val="F79646"/>
                <w:sz w:val="16"/>
                <w:szCs w:val="16"/>
              </w:rPr>
              <w:t>WSI initiator</w:t>
            </w:r>
          </w:p>
        </w:tc>
      </w:tr>
    </w:tbl>
    <w:p w:rsidR="009D4401" w:rsidRDefault="009D4401" w:rsidP="005A63EE">
      <w:bookmarkStart w:id="1" w:name="_GoBack"/>
      <w:bookmarkEnd w:id="1"/>
    </w:p>
    <w:sectPr w:rsidR="009D4401" w:rsidSect="005A63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EE"/>
    <w:rsid w:val="005A63EE"/>
    <w:rsid w:val="009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E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5A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63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3EE"/>
    <w:rPr>
      <w:rFonts w:ascii="Calibri" w:eastAsia="Calibri" w:hAnsi="Calibri" w:cs="Calibri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5A63EE"/>
    <w:pPr>
      <w:spacing w:line="240" w:lineRule="auto"/>
      <w:jc w:val="center"/>
    </w:pPr>
    <w:rPr>
      <w:rFonts w:eastAsia="MS Mincho"/>
      <w:b/>
      <w:bCs/>
      <w:color w:val="4F81BD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E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5A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63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3EE"/>
    <w:rPr>
      <w:rFonts w:ascii="Calibri" w:eastAsia="Calibri" w:hAnsi="Calibri" w:cs="Calibri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5A63EE"/>
    <w:pPr>
      <w:spacing w:line="240" w:lineRule="auto"/>
      <w:jc w:val="center"/>
    </w:pPr>
    <w:rPr>
      <w:rFonts w:eastAsia="MS Mincho"/>
      <w:b/>
      <w:bCs/>
      <w:color w:val="4F81BD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Mai-Lan Ha</dc:creator>
  <cp:lastModifiedBy>Mai-Lan Ha</cp:lastModifiedBy>
  <cp:revision>1</cp:revision>
  <dcterms:created xsi:type="dcterms:W3CDTF">2015-06-09T23:48:00Z</dcterms:created>
  <dcterms:modified xsi:type="dcterms:W3CDTF">2015-06-09T23:50:00Z</dcterms:modified>
</cp:coreProperties>
</file>